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76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7"/>
        <w:gridCol w:w="993"/>
        <w:gridCol w:w="904"/>
      </w:tblGrid>
      <w:tr w:rsidR="00BE21E8" w:rsidRPr="00563B82" w:rsidTr="003B783C">
        <w:trPr>
          <w:trHeight w:val="513"/>
        </w:trPr>
        <w:tc>
          <w:tcPr>
            <w:tcW w:w="10060" w:type="dxa"/>
            <w:gridSpan w:val="4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General Study Informed Consent Comprehension Assessment</w:t>
            </w:r>
          </w:p>
        </w:tc>
      </w:tr>
      <w:tr w:rsidR="00BE21E8" w:rsidRPr="00563B82" w:rsidTr="003B783C">
        <w:trPr>
          <w:trHeight w:val="513"/>
        </w:trPr>
        <w:tc>
          <w:tcPr>
            <w:tcW w:w="666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97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4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BE21E8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If you decide to join this research study, you will be in the study for about </w:t>
            </w:r>
            <w:r>
              <w:rPr>
                <w:sz w:val="21"/>
                <w:szCs w:val="21"/>
              </w:rPr>
              <w:t>13 weeks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the study staff determines that you have any medical problems, they will treat you or refer you to available sources of medical care for those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BE21E8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will be asked to use one of two vaginal rings</w:t>
            </w:r>
            <w:r w:rsidR="00023216">
              <w:rPr>
                <w:sz w:val="21"/>
                <w:szCs w:val="21"/>
              </w:rPr>
              <w:t xml:space="preserve"> for about 3 months. Both rings have medications in it. 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do not agree to future specimen storage, you cannot be in this research study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Del="00AC5284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may contact the study staff at any time </w:t>
            </w:r>
            <w:r>
              <w:rPr>
                <w:sz w:val="21"/>
                <w:szCs w:val="21"/>
              </w:rPr>
              <w:t>i</w:t>
            </w:r>
            <w:r w:rsidRPr="00563B82">
              <w:rPr>
                <w:sz w:val="21"/>
                <w:szCs w:val="21"/>
              </w:rPr>
              <w:t>f you have any questions or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16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not to join this research study, you can still come to the clinic for medical care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1118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take part in the research st</w:t>
            </w:r>
            <w:r w:rsidR="00023216">
              <w:rPr>
                <w:sz w:val="21"/>
                <w:szCs w:val="21"/>
              </w:rPr>
              <w:t xml:space="preserve">udy, you will have physical </w:t>
            </w:r>
            <w:r w:rsidRPr="00563B82">
              <w:rPr>
                <w:sz w:val="21"/>
                <w:szCs w:val="21"/>
              </w:rPr>
              <w:t xml:space="preserve">exams </w:t>
            </w:r>
            <w:r w:rsidR="00023216">
              <w:rPr>
                <w:sz w:val="21"/>
                <w:szCs w:val="21"/>
              </w:rPr>
              <w:t xml:space="preserve">and exams of the vagina. You will also be tested for </w:t>
            </w:r>
            <w:r w:rsidRPr="00563B82">
              <w:rPr>
                <w:sz w:val="21"/>
                <w:szCs w:val="21"/>
              </w:rPr>
              <w:t>HIV and other health problems along with answer</w:t>
            </w:r>
            <w:r>
              <w:rPr>
                <w:sz w:val="21"/>
                <w:szCs w:val="21"/>
              </w:rPr>
              <w:t>ing</w:t>
            </w:r>
            <w:r w:rsidRPr="00563B82">
              <w:rPr>
                <w:sz w:val="21"/>
                <w:szCs w:val="21"/>
              </w:rPr>
              <w:t xml:space="preserve"> questions about your experience </w:t>
            </w:r>
            <w:r w:rsidR="00023216">
              <w:rPr>
                <w:sz w:val="21"/>
                <w:szCs w:val="21"/>
              </w:rPr>
              <w:t>wearing the vaginal ring</w:t>
            </w:r>
            <w:r w:rsidRPr="00563B82">
              <w:rPr>
                <w:sz w:val="21"/>
                <w:szCs w:val="21"/>
              </w:rPr>
              <w:t xml:space="preserve">. Some of these discussions </w:t>
            </w:r>
            <w:r w:rsidR="002A138E">
              <w:rPr>
                <w:sz w:val="21"/>
                <w:szCs w:val="21"/>
              </w:rPr>
              <w:t>may</w:t>
            </w:r>
            <w:r w:rsidRPr="00563B82">
              <w:rPr>
                <w:sz w:val="21"/>
                <w:szCs w:val="21"/>
              </w:rPr>
              <w:t xml:space="preserve"> be recorded using a </w:t>
            </w:r>
            <w:r>
              <w:rPr>
                <w:sz w:val="21"/>
                <w:szCs w:val="21"/>
              </w:rPr>
              <w:t>voice</w:t>
            </w:r>
            <w:r w:rsidRPr="00563B82">
              <w:rPr>
                <w:sz w:val="21"/>
                <w:szCs w:val="21"/>
              </w:rPr>
              <w:t xml:space="preserve"> recorder.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The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could cause some bad effects like caus</w:t>
            </w:r>
            <w:r>
              <w:rPr>
                <w:sz w:val="21"/>
                <w:szCs w:val="21"/>
              </w:rPr>
              <w:t>ing</w:t>
            </w:r>
            <w:r w:rsidR="002A138E">
              <w:rPr>
                <w:sz w:val="21"/>
                <w:szCs w:val="21"/>
              </w:rPr>
              <w:t xml:space="preserve"> some discomfort or discharge from the vagina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do not have to use condoms when you have sex because the </w:t>
            </w:r>
            <w:r w:rsidR="002A138E">
              <w:rPr>
                <w:sz w:val="21"/>
                <w:szCs w:val="21"/>
              </w:rPr>
              <w:t>vaginal rings</w:t>
            </w:r>
            <w:r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can protect you from getting HIV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will be randomly assigned (like flipping a coin) to which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you will use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405B76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1"/>
                <w:szCs w:val="21"/>
              </w:rPr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405B76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1"/>
                <w:szCs w:val="21"/>
              </w:rPr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786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97" w:type="dxa"/>
            <w:vAlign w:val="center"/>
          </w:tcPr>
          <w:p w:rsidR="003A7DAD" w:rsidRPr="003A7DAD" w:rsidRDefault="00BE21E8" w:rsidP="003A7DAD">
            <w:pPr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The reason for this research s</w:t>
            </w:r>
            <w:r w:rsidR="002A138E">
              <w:rPr>
                <w:sz w:val="21"/>
                <w:szCs w:val="21"/>
              </w:rPr>
              <w:t xml:space="preserve">tudy is to test the safety of a vaginal ring </w:t>
            </w:r>
            <w:r w:rsidRPr="00563B82">
              <w:rPr>
                <w:sz w:val="21"/>
                <w:szCs w:val="21"/>
              </w:rPr>
              <w:t xml:space="preserve">that contains </w:t>
            </w:r>
            <w:proofErr w:type="spellStart"/>
            <w:r w:rsidR="002A138E">
              <w:rPr>
                <w:sz w:val="21"/>
                <w:szCs w:val="21"/>
              </w:rPr>
              <w:t>dapivirine</w:t>
            </w:r>
            <w:proofErr w:type="spellEnd"/>
            <w:r w:rsidRPr="00563B82">
              <w:rPr>
                <w:sz w:val="21"/>
                <w:szCs w:val="21"/>
              </w:rPr>
              <w:t xml:space="preserve"> </w:t>
            </w:r>
            <w:r w:rsidR="003A7DAD" w:rsidRPr="00563B82">
              <w:rPr>
                <w:sz w:val="21"/>
                <w:szCs w:val="21"/>
              </w:rPr>
              <w:t xml:space="preserve">in </w:t>
            </w:r>
            <w:r w:rsidR="003A7DAD">
              <w:t>women</w:t>
            </w:r>
            <w:r w:rsidR="003A7DAD" w:rsidRPr="003A7DAD">
              <w:rPr>
                <w:sz w:val="21"/>
                <w:szCs w:val="21"/>
              </w:rPr>
              <w:t xml:space="preserve"> who have not experienced a menstrual </w:t>
            </w:r>
            <w:r w:rsidR="003A7DAD">
              <w:rPr>
                <w:sz w:val="21"/>
                <w:szCs w:val="21"/>
              </w:rPr>
              <w:t>period</w:t>
            </w:r>
            <w:r w:rsidR="003A7DAD" w:rsidRPr="003A7DAD">
              <w:rPr>
                <w:sz w:val="21"/>
                <w:szCs w:val="21"/>
              </w:rPr>
              <w:t xml:space="preserve"> for a minimum of 12 months</w:t>
            </w:r>
            <w:r w:rsidR="003A7DAD">
              <w:rPr>
                <w:sz w:val="21"/>
                <w:szCs w:val="21"/>
              </w:rPr>
              <w:t xml:space="preserve"> </w:t>
            </w:r>
            <w:r w:rsidR="00760817">
              <w:rPr>
                <w:sz w:val="21"/>
                <w:szCs w:val="21"/>
              </w:rPr>
              <w:t>or women who have had their ovaries removed</w:t>
            </w:r>
            <w:r w:rsidR="002E21A4">
              <w:rPr>
                <w:sz w:val="21"/>
                <w:szCs w:val="21"/>
              </w:rPr>
              <w:t>.</w:t>
            </w:r>
          </w:p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</w:p>
        </w:tc>
        <w:bookmarkStart w:id="0" w:name="Check1"/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 can get condoms, lubricant and HIV and STI counseling from the study staff at any time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Your personal information will be available to everyone at the clinic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 will be asked to come back to the clinic every month for a study visit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join this research study, you must stay in the study for as long as you are told to by the study staff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:rsidR="00A1133C" w:rsidRDefault="00A1133C" w:rsidP="00BE21E8">
      <w:pPr>
        <w:spacing w:after="160" w:line="240" w:lineRule="auto"/>
      </w:pPr>
    </w:p>
    <w:p w:rsidR="00BE21E8" w:rsidRDefault="00A1133C" w:rsidP="00BE21E8">
      <w:pPr>
        <w:spacing w:after="160" w:line="240" w:lineRule="auto"/>
      </w:pPr>
      <w:r>
        <w:t>Staff Signature_________________________________________________________________________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25"/>
        <w:tblW w:w="10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485"/>
        <w:gridCol w:w="990"/>
        <w:gridCol w:w="900"/>
      </w:tblGrid>
      <w:tr w:rsidR="00BE21E8" w:rsidRPr="005C10F0" w:rsidTr="00E53EE0">
        <w:trPr>
          <w:trHeight w:val="537"/>
        </w:trPr>
        <w:tc>
          <w:tcPr>
            <w:tcW w:w="10015" w:type="dxa"/>
            <w:gridSpan w:val="4"/>
            <w:shd w:val="pct10" w:color="auto" w:fill="auto"/>
            <w:vAlign w:val="center"/>
          </w:tcPr>
          <w:p w:rsidR="00BE21E8" w:rsidRPr="005C10F0" w:rsidRDefault="00760817" w:rsidP="00E53EE0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Vaginal Fluid and Cervical Tissue</w:t>
            </w:r>
            <w:r w:rsidR="00BE21E8" w:rsidRPr="005C10F0">
              <w:rPr>
                <w:b/>
                <w:sz w:val="21"/>
                <w:szCs w:val="21"/>
              </w:rPr>
              <w:t xml:space="preserve"> Subset Informed Consent Comprehension Assessment</w:t>
            </w:r>
          </w:p>
        </w:tc>
      </w:tr>
      <w:tr w:rsidR="00BE21E8" w:rsidRPr="005C10F0" w:rsidTr="00E53EE0">
        <w:trPr>
          <w:trHeight w:val="582"/>
        </w:trPr>
        <w:tc>
          <w:tcPr>
            <w:tcW w:w="640" w:type="dxa"/>
            <w:shd w:val="pct10" w:color="auto" w:fill="auto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5C10F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85" w:type="dxa"/>
            <w:shd w:val="pct10" w:color="auto" w:fill="auto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5C10F0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5C10F0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5C10F0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C10F0" w:rsidTr="00E53EE0">
        <w:tc>
          <w:tcPr>
            <w:tcW w:w="64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>1</w:t>
            </w:r>
          </w:p>
        </w:tc>
        <w:tc>
          <w:tcPr>
            <w:tcW w:w="7485" w:type="dxa"/>
            <w:vAlign w:val="center"/>
          </w:tcPr>
          <w:p w:rsidR="00BE21E8" w:rsidRPr="005C10F0" w:rsidRDefault="00BE21E8" w:rsidP="00760817">
            <w:pPr>
              <w:spacing w:after="120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 xml:space="preserve">If you join this study, you must agree to have the </w:t>
            </w:r>
            <w:r w:rsidR="00760817">
              <w:rPr>
                <w:sz w:val="21"/>
                <w:szCs w:val="21"/>
              </w:rPr>
              <w:t>vaginal</w:t>
            </w:r>
            <w:r w:rsidRPr="005C10F0">
              <w:rPr>
                <w:sz w:val="21"/>
                <w:szCs w:val="21"/>
              </w:rPr>
              <w:t xml:space="preserve"> fluid and </w:t>
            </w:r>
            <w:r w:rsidR="00760817">
              <w:rPr>
                <w:sz w:val="21"/>
                <w:szCs w:val="21"/>
              </w:rPr>
              <w:t>cervical</w:t>
            </w:r>
            <w:r w:rsidRPr="005C10F0">
              <w:rPr>
                <w:sz w:val="21"/>
                <w:szCs w:val="21"/>
              </w:rPr>
              <w:t xml:space="preserve"> tissue samples collected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C10F0" w:rsidTr="00E53EE0">
        <w:tc>
          <w:tcPr>
            <w:tcW w:w="64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>2</w:t>
            </w:r>
          </w:p>
        </w:tc>
        <w:tc>
          <w:tcPr>
            <w:tcW w:w="7485" w:type="dxa"/>
            <w:vAlign w:val="center"/>
          </w:tcPr>
          <w:p w:rsidR="00BE21E8" w:rsidRPr="005C10F0" w:rsidRDefault="00BE21E8" w:rsidP="00760817">
            <w:pPr>
              <w:spacing w:after="120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>The reason th</w:t>
            </w:r>
            <w:r>
              <w:rPr>
                <w:sz w:val="21"/>
                <w:szCs w:val="21"/>
              </w:rPr>
              <w:t xml:space="preserve">at </w:t>
            </w:r>
            <w:r w:rsidR="00760817">
              <w:rPr>
                <w:sz w:val="21"/>
                <w:szCs w:val="21"/>
              </w:rPr>
              <w:t>vaginal</w:t>
            </w:r>
            <w:r>
              <w:rPr>
                <w:sz w:val="21"/>
                <w:szCs w:val="21"/>
              </w:rPr>
              <w:t xml:space="preserve"> fluid and </w:t>
            </w:r>
            <w:r w:rsidR="00760817">
              <w:rPr>
                <w:sz w:val="21"/>
                <w:szCs w:val="21"/>
              </w:rPr>
              <w:t xml:space="preserve">cervical </w:t>
            </w:r>
            <w:r>
              <w:rPr>
                <w:sz w:val="21"/>
                <w:szCs w:val="21"/>
              </w:rPr>
              <w:t>tissue</w:t>
            </w:r>
            <w:r w:rsidRPr="005C10F0">
              <w:rPr>
                <w:sz w:val="21"/>
                <w:szCs w:val="21"/>
              </w:rPr>
              <w:t xml:space="preserve"> </w:t>
            </w:r>
            <w:r w:rsidR="002E21A4" w:rsidRPr="005C10F0">
              <w:rPr>
                <w:sz w:val="21"/>
                <w:szCs w:val="21"/>
              </w:rPr>
              <w:t>samples will</w:t>
            </w:r>
            <w:r w:rsidRPr="005C10F0">
              <w:rPr>
                <w:sz w:val="21"/>
                <w:szCs w:val="21"/>
              </w:rPr>
              <w:t xml:space="preserve"> be collected is to help </w:t>
            </w:r>
            <w:r>
              <w:rPr>
                <w:sz w:val="21"/>
                <w:szCs w:val="21"/>
              </w:rPr>
              <w:t>researchers</w:t>
            </w:r>
            <w:r w:rsidRPr="005C10F0">
              <w:rPr>
                <w:sz w:val="21"/>
                <w:szCs w:val="21"/>
              </w:rPr>
              <w:t xml:space="preserve"> understand how much of the</w:t>
            </w:r>
            <w:r w:rsidR="00760817">
              <w:rPr>
                <w:sz w:val="21"/>
                <w:szCs w:val="21"/>
              </w:rPr>
              <w:t xml:space="preserve"> study drugs get into those parts of the body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C10F0" w:rsidTr="00E53EE0">
        <w:tc>
          <w:tcPr>
            <w:tcW w:w="64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>3</w:t>
            </w:r>
          </w:p>
        </w:tc>
        <w:tc>
          <w:tcPr>
            <w:tcW w:w="7485" w:type="dxa"/>
            <w:vAlign w:val="center"/>
          </w:tcPr>
          <w:p w:rsidR="00BE21E8" w:rsidRPr="005C10F0" w:rsidRDefault="00BE21E8" w:rsidP="001347F8">
            <w:pPr>
              <w:spacing w:after="120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>If you agree to take part in th</w:t>
            </w:r>
            <w:r>
              <w:rPr>
                <w:sz w:val="21"/>
                <w:szCs w:val="21"/>
              </w:rPr>
              <w:t xml:space="preserve">e </w:t>
            </w:r>
            <w:r w:rsidR="00FC3C86" w:rsidRPr="00FC3C86">
              <w:rPr>
                <w:sz w:val="21"/>
                <w:szCs w:val="21"/>
              </w:rPr>
              <w:t xml:space="preserve">vaginal fluid and cervical tissue </w:t>
            </w:r>
            <w:r>
              <w:rPr>
                <w:sz w:val="21"/>
                <w:szCs w:val="21"/>
              </w:rPr>
              <w:t>subset</w:t>
            </w:r>
            <w:r w:rsidRPr="005C10F0">
              <w:rPr>
                <w:sz w:val="21"/>
                <w:szCs w:val="21"/>
              </w:rPr>
              <w:t xml:space="preserve"> portion of the study, you will have </w:t>
            </w:r>
            <w:r w:rsidR="00FC3C86">
              <w:rPr>
                <w:sz w:val="21"/>
                <w:szCs w:val="21"/>
              </w:rPr>
              <w:t>vaginal</w:t>
            </w:r>
            <w:r w:rsidRPr="005C10F0">
              <w:rPr>
                <w:sz w:val="21"/>
                <w:szCs w:val="21"/>
              </w:rPr>
              <w:t xml:space="preserve"> exams that include having a </w:t>
            </w:r>
            <w:r w:rsidR="001347F8">
              <w:rPr>
                <w:sz w:val="21"/>
                <w:szCs w:val="21"/>
              </w:rPr>
              <w:t>speculum</w:t>
            </w:r>
            <w:r w:rsidR="001347F8" w:rsidRPr="005C10F0">
              <w:rPr>
                <w:sz w:val="21"/>
                <w:szCs w:val="21"/>
              </w:rPr>
              <w:t xml:space="preserve"> </w:t>
            </w:r>
            <w:r w:rsidRPr="005C10F0">
              <w:rPr>
                <w:sz w:val="21"/>
                <w:szCs w:val="21"/>
              </w:rPr>
              <w:t xml:space="preserve">placed inside your </w:t>
            </w:r>
            <w:r w:rsidR="00FC3C86">
              <w:rPr>
                <w:sz w:val="21"/>
                <w:szCs w:val="21"/>
              </w:rPr>
              <w:t>vagina</w:t>
            </w:r>
            <w:r w:rsidRPr="005C10F0">
              <w:rPr>
                <w:sz w:val="21"/>
                <w:szCs w:val="21"/>
              </w:rPr>
              <w:t xml:space="preserve"> to collect the </w:t>
            </w:r>
            <w:r w:rsidR="00FC3C86">
              <w:rPr>
                <w:sz w:val="21"/>
                <w:szCs w:val="21"/>
              </w:rPr>
              <w:t xml:space="preserve">cervical </w:t>
            </w:r>
            <w:r>
              <w:rPr>
                <w:sz w:val="21"/>
                <w:szCs w:val="21"/>
              </w:rPr>
              <w:t xml:space="preserve">tissue </w:t>
            </w:r>
            <w:r w:rsidR="00FC3C86">
              <w:rPr>
                <w:sz w:val="21"/>
                <w:szCs w:val="21"/>
              </w:rPr>
              <w:t>and vaginal fluid samples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BE21E8" w:rsidRPr="005C10F0" w:rsidRDefault="00BE21E8" w:rsidP="00E53EE0">
            <w:pPr>
              <w:spacing w:after="120"/>
              <w:jc w:val="center"/>
              <w:rPr>
                <w:sz w:val="21"/>
                <w:szCs w:val="21"/>
              </w:rPr>
            </w:pP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C10F0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C10F0" w:rsidTr="00E53EE0">
        <w:tc>
          <w:tcPr>
            <w:tcW w:w="640" w:type="dxa"/>
            <w:vAlign w:val="center"/>
          </w:tcPr>
          <w:p w:rsidR="00BE21E8" w:rsidRPr="005C10F0" w:rsidRDefault="00C27E98" w:rsidP="00E53EE0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85" w:type="dxa"/>
            <w:vAlign w:val="center"/>
          </w:tcPr>
          <w:p w:rsidR="00BE21E8" w:rsidRPr="005C10F0" w:rsidRDefault="00BE21E8" w:rsidP="00C27E98">
            <w:pPr>
              <w:spacing w:after="120"/>
              <w:rPr>
                <w:sz w:val="21"/>
                <w:szCs w:val="21"/>
              </w:rPr>
            </w:pPr>
            <w:r w:rsidRPr="005C10F0">
              <w:rPr>
                <w:sz w:val="21"/>
                <w:szCs w:val="21"/>
              </w:rPr>
              <w:t xml:space="preserve">Having these </w:t>
            </w:r>
            <w:r w:rsidR="00FC3C86" w:rsidRPr="00FC3C86">
              <w:rPr>
                <w:sz w:val="21"/>
                <w:szCs w:val="21"/>
              </w:rPr>
              <w:t xml:space="preserve">vaginal fluid and cervical tissue </w:t>
            </w:r>
            <w:r w:rsidRPr="005C10F0">
              <w:rPr>
                <w:sz w:val="21"/>
                <w:szCs w:val="21"/>
              </w:rPr>
              <w:t xml:space="preserve">samples collected </w:t>
            </w:r>
            <w:r w:rsidR="00C27E98">
              <w:rPr>
                <w:sz w:val="21"/>
                <w:szCs w:val="21"/>
              </w:rPr>
              <w:t>will not</w:t>
            </w:r>
            <w:r w:rsidR="00C27E98" w:rsidRPr="005C10F0">
              <w:rPr>
                <w:sz w:val="21"/>
                <w:szCs w:val="21"/>
              </w:rPr>
              <w:t xml:space="preserve"> </w:t>
            </w:r>
            <w:r w:rsidRPr="005C10F0">
              <w:rPr>
                <w:sz w:val="21"/>
                <w:szCs w:val="21"/>
              </w:rPr>
              <w:t xml:space="preserve">cause </w:t>
            </w:r>
            <w:r w:rsidR="00C27E98">
              <w:rPr>
                <w:sz w:val="21"/>
                <w:szCs w:val="21"/>
              </w:rPr>
              <w:t>any</w:t>
            </w:r>
            <w:r w:rsidR="00C27E98" w:rsidRPr="005C10F0">
              <w:rPr>
                <w:sz w:val="21"/>
                <w:szCs w:val="21"/>
              </w:rPr>
              <w:t xml:space="preserve"> </w:t>
            </w:r>
            <w:r w:rsidRPr="005C10F0">
              <w:rPr>
                <w:sz w:val="21"/>
                <w:szCs w:val="21"/>
              </w:rPr>
              <w:t xml:space="preserve">bad effects like </w:t>
            </w:r>
            <w:r w:rsidR="00B8112F">
              <w:rPr>
                <w:sz w:val="21"/>
                <w:szCs w:val="21"/>
              </w:rPr>
              <w:t xml:space="preserve">experiencing discomfort in your </w:t>
            </w:r>
            <w:r w:rsidR="00FC3C86">
              <w:rPr>
                <w:sz w:val="21"/>
                <w:szCs w:val="21"/>
              </w:rPr>
              <w:t>vagin</w:t>
            </w:r>
            <w:r w:rsidR="00B8112F">
              <w:rPr>
                <w:sz w:val="21"/>
                <w:szCs w:val="21"/>
              </w:rPr>
              <w:t>a</w:t>
            </w:r>
            <w:r w:rsidRPr="005C10F0">
              <w:rPr>
                <w:sz w:val="21"/>
                <w:szCs w:val="21"/>
              </w:rPr>
              <w:t xml:space="preserve"> or cause minor bleeding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0" w:type="dxa"/>
            <w:vAlign w:val="center"/>
          </w:tcPr>
          <w:p w:rsidR="00BE21E8" w:rsidRPr="005C10F0" w:rsidRDefault="00C27E98" w:rsidP="00E53EE0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BE21E8" w:rsidRPr="005C10F0" w:rsidRDefault="00C27E98" w:rsidP="00E53EE0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405B76">
              <w:rPr>
                <w:rFonts w:ascii="MS Gothic" w:eastAsia="MS Gothic" w:hAnsi="MS Gothic"/>
                <w:sz w:val="21"/>
                <w:szCs w:val="21"/>
              </w:rPr>
            </w:r>
            <w:r w:rsidR="00405B76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:rsidR="00BE21E8" w:rsidRDefault="00BE21E8" w:rsidP="00BE21E8">
      <w:pPr>
        <w:spacing w:after="160" w:line="240" w:lineRule="auto"/>
      </w:pPr>
    </w:p>
    <w:p w:rsidR="00A1133C" w:rsidRDefault="00A1133C" w:rsidP="00A1133C">
      <w:pPr>
        <w:spacing w:after="160" w:line="240" w:lineRule="auto"/>
      </w:pPr>
      <w:r>
        <w:t>Staff Signature_________________________________________________________________________</w:t>
      </w:r>
    </w:p>
    <w:p w:rsidR="00BE21E8" w:rsidRDefault="00BE21E8" w:rsidP="00BE21E8">
      <w:pPr>
        <w:spacing w:after="160" w:line="240" w:lineRule="auto"/>
      </w:pPr>
    </w:p>
    <w:p w:rsidR="00EB52FE" w:rsidRDefault="00EB52FE"/>
    <w:sectPr w:rsidR="00EB52FE" w:rsidSect="00563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76" w:rsidRDefault="00405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F" w:rsidRDefault="00760817" w:rsidP="00BA6F6F">
    <w:pPr>
      <w:pStyle w:val="Footer"/>
      <w:jc w:val="right"/>
    </w:pPr>
    <w:r>
      <w:t xml:space="preserve">MTN-024/IPM 031 </w:t>
    </w:r>
    <w:r w:rsidR="00B8112F">
      <w:t>Informed Consent Comprehension Assessment</w:t>
    </w:r>
  </w:p>
  <w:p w:rsidR="00BA6F6F" w:rsidRDefault="00B8112F" w:rsidP="00BA6F6F">
    <w:pPr>
      <w:pStyle w:val="Footer"/>
      <w:jc w:val="right"/>
    </w:pPr>
    <w:r>
      <w:t>True/False Template</w:t>
    </w:r>
  </w:p>
  <w:p w:rsidR="00892DFA" w:rsidRDefault="00892DFA" w:rsidP="00BA6F6F">
    <w:pPr>
      <w:pStyle w:val="Footer"/>
      <w:jc w:val="right"/>
    </w:pPr>
    <w:r>
      <w:t xml:space="preserve">Version </w:t>
    </w:r>
    <w:proofErr w:type="gramStart"/>
    <w:r>
      <w:t>1.</w:t>
    </w:r>
    <w:r w:rsidR="00405B76">
      <w:t>1</w:t>
    </w:r>
    <w:r>
      <w:t xml:space="preserve">  </w:t>
    </w:r>
    <w:r w:rsidR="00405B76">
      <w:t>30</w:t>
    </w:r>
    <w:proofErr w:type="gramEnd"/>
    <w:r w:rsidR="00405B76">
      <w:t xml:space="preserve"> December</w:t>
    </w:r>
    <w:r w:rsidR="003B783C"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76" w:rsidRDefault="00405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76" w:rsidRDefault="00405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82" w:rsidRDefault="00BE21E8" w:rsidP="00563B82">
    <w:pPr>
      <w:pStyle w:val="Header"/>
      <w:jc w:val="center"/>
    </w:pPr>
    <w:r>
      <w:t>MTN-024/IPM 031</w:t>
    </w:r>
  </w:p>
  <w:p w:rsidR="00563B82" w:rsidRDefault="00B8112F" w:rsidP="00563B82">
    <w:pPr>
      <w:pStyle w:val="Header"/>
      <w:jc w:val="center"/>
    </w:pPr>
    <w:r>
      <w:t>Informed Consent Comprehension Checklist</w:t>
    </w:r>
  </w:p>
  <w:p w:rsidR="005C10F0" w:rsidRDefault="00405B76" w:rsidP="00563B82">
    <w:pPr>
      <w:pStyle w:val="Header"/>
      <w:jc w:val="center"/>
    </w:pPr>
  </w:p>
  <w:p w:rsidR="005C10F0" w:rsidRDefault="00B8112F" w:rsidP="005C10F0">
    <w:pPr>
      <w:pStyle w:val="Header"/>
    </w:pPr>
    <w:r>
      <w:t>PTID: ___________________________</w:t>
    </w:r>
    <w:r>
      <w:tab/>
    </w:r>
    <w:r>
      <w:tab/>
      <w:t>Date: ____________________</w:t>
    </w:r>
  </w:p>
  <w:p w:rsidR="00563B82" w:rsidRDefault="00405B76" w:rsidP="00563B82">
    <w:pPr>
      <w:pStyle w:val="Header"/>
      <w:jc w:val="center"/>
    </w:pPr>
  </w:p>
  <w:p w:rsidR="00563B82" w:rsidRDefault="00405B76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76" w:rsidRDefault="00405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8"/>
    <w:rsid w:val="00023216"/>
    <w:rsid w:val="001347F8"/>
    <w:rsid w:val="002A138E"/>
    <w:rsid w:val="002E21A4"/>
    <w:rsid w:val="003A7DAD"/>
    <w:rsid w:val="003B783C"/>
    <w:rsid w:val="00405B76"/>
    <w:rsid w:val="00760817"/>
    <w:rsid w:val="00892DFA"/>
    <w:rsid w:val="009D7BAF"/>
    <w:rsid w:val="00A1133C"/>
    <w:rsid w:val="00A8516D"/>
    <w:rsid w:val="00B8112F"/>
    <w:rsid w:val="00BE21E8"/>
    <w:rsid w:val="00C27E98"/>
    <w:rsid w:val="00EB52FE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Sherri Johnson (US - DC)</cp:lastModifiedBy>
  <cp:revision>2</cp:revision>
  <dcterms:created xsi:type="dcterms:W3CDTF">2013-12-30T16:12:00Z</dcterms:created>
  <dcterms:modified xsi:type="dcterms:W3CDTF">2013-12-30T16:12:00Z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584477830</vt:i4>
  </property>
  <property fmtid="{D5CDD505-2E9C-101B-9397-08002B2CF9AE}" pid="3" name="_NewReviewCycle">
    <vt:lpwstr/>
  </property>
  <property fmtid="{D5CDD505-2E9C-101B-9397-08002B2CF9AE}" pid="4" name="_EmailSubject">
    <vt:lpwstr>MTN-024 webpage posting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  <property fmtid="{D5CDD505-2E9C-101B-9397-08002B2CF9AE}" pid="8" name="_PreviousAdHocReviewCycleID">
    <vt:i4>1009945784</vt:i4>
  </property>
</Properties>
</file>